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6EC3" w14:textId="090875C7" w:rsidR="00075F7B" w:rsidRDefault="00075F7B" w:rsidP="0061546A">
      <w:pPr>
        <w:rPr>
          <w:rFonts w:ascii="Verdana" w:hAnsi="Verdana"/>
          <w:b/>
          <w:bCs/>
          <w:sz w:val="20"/>
          <w:szCs w:val="20"/>
        </w:rPr>
      </w:pPr>
    </w:p>
    <w:p w14:paraId="60221351" w14:textId="77777777" w:rsidR="0061546A" w:rsidRPr="00AC3EA7" w:rsidRDefault="0061546A" w:rsidP="00AC3EA7">
      <w:pPr>
        <w:jc w:val="center"/>
        <w:rPr>
          <w:rFonts w:ascii="Verdana" w:hAnsi="Verdana"/>
          <w:sz w:val="22"/>
        </w:rPr>
      </w:pPr>
      <w:r w:rsidRPr="00AC3EA7">
        <w:rPr>
          <w:rFonts w:ascii="Verdana" w:hAnsi="Verdana"/>
          <w:b/>
          <w:bCs/>
          <w:sz w:val="22"/>
        </w:rPr>
        <w:t>CONDITIONS DE GARANTIE SERVICE</w:t>
      </w:r>
    </w:p>
    <w:p w14:paraId="164BFA85" w14:textId="1C086501" w:rsidR="0061546A" w:rsidRPr="002B1583" w:rsidRDefault="0061546A" w:rsidP="0061546A">
      <w:pPr>
        <w:rPr>
          <w:rFonts w:ascii="Verdana" w:hAnsi="Verdana"/>
          <w:sz w:val="20"/>
          <w:szCs w:val="20"/>
        </w:rPr>
      </w:pPr>
      <w:r w:rsidRPr="0061546A">
        <w:rPr>
          <w:rFonts w:ascii="Verdana" w:hAnsi="Verdana"/>
          <w:sz w:val="20"/>
          <w:szCs w:val="20"/>
        </w:rPr>
        <w:t xml:space="preserve">La période de garantie est </w:t>
      </w:r>
      <w:r w:rsidR="001241A7" w:rsidRPr="001241A7">
        <w:rPr>
          <w:rFonts w:ascii="Verdana" w:hAnsi="Verdana" w:hint="eastAsia"/>
          <w:sz w:val="20"/>
          <w:szCs w:val="20"/>
        </w:rPr>
        <w:t xml:space="preserve"> de 12</w:t>
      </w:r>
      <w:r w:rsidRPr="001241A7">
        <w:rPr>
          <w:rFonts w:ascii="Verdana" w:hAnsi="Verdana"/>
          <w:sz w:val="20"/>
          <w:szCs w:val="20"/>
        </w:rPr>
        <w:t xml:space="preserve"> mois à compter de la date de vente. </w:t>
      </w:r>
    </w:p>
    <w:p w14:paraId="7BD68FF6" w14:textId="77777777" w:rsidR="0061546A" w:rsidRPr="002B1583" w:rsidRDefault="0061546A" w:rsidP="0061546A">
      <w:pPr>
        <w:rPr>
          <w:rFonts w:ascii="Verdana" w:hAnsi="Verdana"/>
          <w:sz w:val="20"/>
          <w:szCs w:val="20"/>
        </w:rPr>
      </w:pPr>
    </w:p>
    <w:p w14:paraId="715DD3CA" w14:textId="77777777" w:rsidR="0061546A" w:rsidRPr="0061546A" w:rsidRDefault="0061546A" w:rsidP="0061546A">
      <w:pPr>
        <w:rPr>
          <w:rFonts w:ascii="Verdana" w:hAnsi="Verdana"/>
          <w:sz w:val="20"/>
          <w:szCs w:val="20"/>
        </w:rPr>
      </w:pPr>
      <w:r w:rsidRPr="0061546A">
        <w:rPr>
          <w:rFonts w:ascii="Verdana" w:hAnsi="Verdana"/>
          <w:sz w:val="20"/>
          <w:szCs w:val="20"/>
        </w:rPr>
        <w:t>Le propriétaire de l'instrument a le droit de faire réparer le produit gratuitement pendant la période de garantie pour les défauts résultant de défauts de fabrication.</w:t>
      </w:r>
    </w:p>
    <w:p w14:paraId="3792DD4D" w14:textId="77777777" w:rsidR="0061546A" w:rsidRPr="0061546A" w:rsidRDefault="0061546A" w:rsidP="0061546A">
      <w:pPr>
        <w:rPr>
          <w:rFonts w:ascii="Verdana" w:hAnsi="Verdana"/>
          <w:sz w:val="20"/>
          <w:szCs w:val="20"/>
        </w:rPr>
      </w:pPr>
      <w:r w:rsidRPr="0061546A">
        <w:rPr>
          <w:rFonts w:ascii="Verdana" w:hAnsi="Verdana"/>
          <w:b/>
          <w:bCs/>
          <w:sz w:val="20"/>
          <w:szCs w:val="20"/>
        </w:rPr>
        <w:t>La garantie ne couvre pas :</w:t>
      </w:r>
    </w:p>
    <w:p w14:paraId="1840A2A0"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Accessoires interchangeables (accessoires et équipements), par exemple : disques, couteaux, perceuses, perceuses, mandrins, semelles de meuleuses et de machines à bande, filtres, etc.</w:t>
      </w:r>
    </w:p>
    <w:p w14:paraId="02AB8AD4"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pièces d'usure telles que : balais de charbon, courroies d'entraînement, joints d'huile, protections de protection, galets de renvoi, joints en caoutchouc, roulements, courroies et roues crantées, canons, etc. Leur remplacement pendant la période de garantie est un service payant.</w:t>
      </w:r>
    </w:p>
    <w:p w14:paraId="09F98B0F"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Les cordons d'alimentation, en cas de dommages à l'isolation, doivent être remplacés sans le consentement du propriétaire (service payant).</w:t>
      </w:r>
    </w:p>
    <w:p w14:paraId="45588017"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Remplacement du boîtier de l'outil électrique.</w:t>
      </w:r>
    </w:p>
    <w:p w14:paraId="6F36C151" w14:textId="77777777" w:rsidR="0061546A" w:rsidRPr="0061546A" w:rsidRDefault="0061546A" w:rsidP="0061546A">
      <w:pPr>
        <w:rPr>
          <w:rFonts w:ascii="Verdana" w:hAnsi="Verdana"/>
          <w:sz w:val="20"/>
          <w:szCs w:val="20"/>
        </w:rPr>
      </w:pPr>
      <w:r w:rsidRPr="0061546A">
        <w:rPr>
          <w:rFonts w:ascii="Verdana" w:hAnsi="Verdana"/>
          <w:b/>
          <w:bCs/>
          <w:sz w:val="20"/>
          <w:szCs w:val="20"/>
        </w:rPr>
        <w:t>La réparation sous garantie n'est pas effectuée dans les cas suivants :</w:t>
      </w:r>
    </w:p>
    <w:p w14:paraId="22A3429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L'outil est utilisé à des fins autres que celles spécifiées dans le mode d'emploi.</w:t>
      </w:r>
    </w:p>
    <w:p w14:paraId="6C3DEED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défaillance due à une surcharge (défaillance simultanée des enroulements de l'induit et du stator ou des deux enroulements du stator - n'est détectée que lors du diagnostic au centre de service).</w:t>
      </w:r>
    </w:p>
    <w:p w14:paraId="1F01C95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dommages mécaniques à l'outil électrique.</w:t>
      </w:r>
    </w:p>
    <w:p w14:paraId="2294D5E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la survenance de déficiences dues aux actions de tiers, à des cas de force majeure, à des catastrophes naturelles, à des conditions météorologiques défavorables et/ou à des influences externes d'environnements agressifs et de températures élevées.</w:t>
      </w:r>
    </w:p>
    <w:p w14:paraId="42DF08F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usure normale de l'outil : épuisement total ou partiel de la ressource, forte contamination interne ou externe, rouille, lubrifiant usagé dans la boîte de vitesses (voir le chapitre « Consignes de sécurité » dans les manuels d'utilisation).</w:t>
      </w:r>
    </w:p>
    <w:p w14:paraId="0166A8F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dommages à l'outil dus à des surtensions.</w:t>
      </w:r>
    </w:p>
    <w:p w14:paraId="5A6DEEE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dommages au produit en raison du non-respect des réglementations de stockage et de transport (voir chapitre « Consignes de sécurité »).</w:t>
      </w:r>
    </w:p>
    <w:p w14:paraId="467279C5"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Après des tentatives d'ouverture, de réparation, d'apporter des modifications structurelles et de lubrifier l'outil électrique pendant la période de garantie, comme en témoignent, par exemple, les plis sur les parties cannelées des fixations des pièces de carrosserie.</w:t>
      </w:r>
    </w:p>
    <w:p w14:paraId="30B650C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pannes associées au manque d'entretien de l'outil électrique.</w:t>
      </w:r>
    </w:p>
    <w:p w14:paraId="5D46F1A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Outil électrique partiellement ou complètement démonté.</w:t>
      </w:r>
    </w:p>
    <w:p w14:paraId="05B1BFC8" w14:textId="77777777" w:rsidR="0061546A" w:rsidRPr="0061546A" w:rsidRDefault="0061546A" w:rsidP="0061546A">
      <w:pPr>
        <w:rPr>
          <w:rFonts w:ascii="Verdana" w:hAnsi="Verdana"/>
          <w:sz w:val="20"/>
          <w:szCs w:val="20"/>
        </w:rPr>
      </w:pPr>
      <w:r w:rsidRPr="0061546A">
        <w:rPr>
          <w:rFonts w:ascii="Verdana" w:hAnsi="Verdana"/>
          <w:sz w:val="20"/>
          <w:szCs w:val="20"/>
        </w:rPr>
        <w:t>L'entretien préventif de l'outil électrique (nettoyage, rinçage et changement de relubrification) pendant la période de garantie est un service payant.</w:t>
      </w:r>
    </w:p>
    <w:p w14:paraId="0F1717E7" w14:textId="77777777" w:rsidR="0061546A" w:rsidRPr="0061546A" w:rsidRDefault="0061546A" w:rsidP="0061546A">
      <w:pPr>
        <w:rPr>
          <w:rFonts w:ascii="Verdana" w:hAnsi="Verdana"/>
          <w:sz w:val="20"/>
          <w:szCs w:val="20"/>
        </w:rPr>
      </w:pPr>
      <w:r w:rsidRPr="0061546A">
        <w:rPr>
          <w:rFonts w:ascii="Verdana" w:hAnsi="Verdana"/>
          <w:sz w:val="20"/>
          <w:szCs w:val="20"/>
        </w:rPr>
        <w:t xml:space="preserve">Le propriétaire de l'outil électrique confie le diagnostic à un centre de service en son </w:t>
      </w:r>
      <w:r w:rsidRPr="0061546A">
        <w:rPr>
          <w:rFonts w:ascii="Verdana" w:hAnsi="Verdana"/>
          <w:sz w:val="20"/>
          <w:szCs w:val="20"/>
        </w:rPr>
        <w:lastRenderedPageBreak/>
        <w:t>absence.</w:t>
      </w:r>
    </w:p>
    <w:p w14:paraId="03FCADE5" w14:textId="7EAB3475" w:rsidR="00555441" w:rsidRPr="002B1583" w:rsidRDefault="0061546A">
      <w:pPr>
        <w:rPr>
          <w:rFonts w:ascii="Verdana" w:hAnsi="Verdana"/>
          <w:sz w:val="20"/>
          <w:szCs w:val="20"/>
        </w:rPr>
      </w:pPr>
      <w:r w:rsidRPr="0061546A">
        <w:rPr>
          <w:rFonts w:ascii="Verdana" w:hAnsi="Verdana"/>
          <w:sz w:val="20"/>
          <w:szCs w:val="20"/>
        </w:rPr>
        <w:t>Les violations potentielles des conditions de garantie ci-dessus seront signalées au propriétaire après que l'outil électrique ait été diagnostiqué dans un centre de service.</w:t>
      </w:r>
    </w:p>
    <w:sectPr w:rsidR="00555441" w:rsidRPr="002B1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168A" w14:textId="77777777" w:rsidR="00FC2D7F" w:rsidRDefault="00FC2D7F" w:rsidP="0061546A">
      <w:r>
        <w:separator/>
      </w:r>
    </w:p>
  </w:endnote>
  <w:endnote w:type="continuationSeparator" w:id="0">
    <w:p w14:paraId="5157D148" w14:textId="77777777" w:rsidR="00FC2D7F" w:rsidRDefault="00FC2D7F" w:rsidP="006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C0E4" w14:textId="77777777" w:rsidR="00FC2D7F" w:rsidRDefault="00FC2D7F" w:rsidP="0061546A">
      <w:r>
        <w:separator/>
      </w:r>
    </w:p>
  </w:footnote>
  <w:footnote w:type="continuationSeparator" w:id="0">
    <w:p w14:paraId="73649A3D" w14:textId="77777777" w:rsidR="00FC2D7F" w:rsidRDefault="00FC2D7F" w:rsidP="0061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745F"/>
    <w:multiLevelType w:val="hybridMultilevel"/>
    <w:tmpl w:val="5CBC2128"/>
    <w:lvl w:ilvl="0" w:tplc="84900D58">
      <w:start w:val="1"/>
      <w:numFmt w:val="bullet"/>
      <w:lvlText w:val=""/>
      <w:lvlJc w:val="left"/>
      <w:pPr>
        <w:tabs>
          <w:tab w:val="num" w:pos="720"/>
        </w:tabs>
        <w:ind w:left="720" w:hanging="360"/>
      </w:pPr>
      <w:rPr>
        <w:rFonts w:ascii="Wingdings" w:hAnsi="Wingdings" w:hint="default"/>
      </w:rPr>
    </w:lvl>
    <w:lvl w:ilvl="1" w:tplc="5A4A4F88" w:tentative="1">
      <w:start w:val="1"/>
      <w:numFmt w:val="bullet"/>
      <w:lvlText w:val=""/>
      <w:lvlJc w:val="left"/>
      <w:pPr>
        <w:tabs>
          <w:tab w:val="num" w:pos="1440"/>
        </w:tabs>
        <w:ind w:left="1440" w:hanging="360"/>
      </w:pPr>
      <w:rPr>
        <w:rFonts w:ascii="Wingdings" w:hAnsi="Wingdings" w:hint="default"/>
      </w:rPr>
    </w:lvl>
    <w:lvl w:ilvl="2" w:tplc="8E1EB10A" w:tentative="1">
      <w:start w:val="1"/>
      <w:numFmt w:val="bullet"/>
      <w:lvlText w:val=""/>
      <w:lvlJc w:val="left"/>
      <w:pPr>
        <w:tabs>
          <w:tab w:val="num" w:pos="2160"/>
        </w:tabs>
        <w:ind w:left="2160" w:hanging="360"/>
      </w:pPr>
      <w:rPr>
        <w:rFonts w:ascii="Wingdings" w:hAnsi="Wingdings" w:hint="default"/>
      </w:rPr>
    </w:lvl>
    <w:lvl w:ilvl="3" w:tplc="705AA988" w:tentative="1">
      <w:start w:val="1"/>
      <w:numFmt w:val="bullet"/>
      <w:lvlText w:val=""/>
      <w:lvlJc w:val="left"/>
      <w:pPr>
        <w:tabs>
          <w:tab w:val="num" w:pos="2880"/>
        </w:tabs>
        <w:ind w:left="2880" w:hanging="360"/>
      </w:pPr>
      <w:rPr>
        <w:rFonts w:ascii="Wingdings" w:hAnsi="Wingdings" w:hint="default"/>
      </w:rPr>
    </w:lvl>
    <w:lvl w:ilvl="4" w:tplc="590CAD56" w:tentative="1">
      <w:start w:val="1"/>
      <w:numFmt w:val="bullet"/>
      <w:lvlText w:val=""/>
      <w:lvlJc w:val="left"/>
      <w:pPr>
        <w:tabs>
          <w:tab w:val="num" w:pos="3600"/>
        </w:tabs>
        <w:ind w:left="3600" w:hanging="360"/>
      </w:pPr>
      <w:rPr>
        <w:rFonts w:ascii="Wingdings" w:hAnsi="Wingdings" w:hint="default"/>
      </w:rPr>
    </w:lvl>
    <w:lvl w:ilvl="5" w:tplc="70446E3A" w:tentative="1">
      <w:start w:val="1"/>
      <w:numFmt w:val="bullet"/>
      <w:lvlText w:val=""/>
      <w:lvlJc w:val="left"/>
      <w:pPr>
        <w:tabs>
          <w:tab w:val="num" w:pos="4320"/>
        </w:tabs>
        <w:ind w:left="4320" w:hanging="360"/>
      </w:pPr>
      <w:rPr>
        <w:rFonts w:ascii="Wingdings" w:hAnsi="Wingdings" w:hint="default"/>
      </w:rPr>
    </w:lvl>
    <w:lvl w:ilvl="6" w:tplc="37984084" w:tentative="1">
      <w:start w:val="1"/>
      <w:numFmt w:val="bullet"/>
      <w:lvlText w:val=""/>
      <w:lvlJc w:val="left"/>
      <w:pPr>
        <w:tabs>
          <w:tab w:val="num" w:pos="5040"/>
        </w:tabs>
        <w:ind w:left="5040" w:hanging="360"/>
      </w:pPr>
      <w:rPr>
        <w:rFonts w:ascii="Wingdings" w:hAnsi="Wingdings" w:hint="default"/>
      </w:rPr>
    </w:lvl>
    <w:lvl w:ilvl="7" w:tplc="99A6DBB4" w:tentative="1">
      <w:start w:val="1"/>
      <w:numFmt w:val="bullet"/>
      <w:lvlText w:val=""/>
      <w:lvlJc w:val="left"/>
      <w:pPr>
        <w:tabs>
          <w:tab w:val="num" w:pos="5760"/>
        </w:tabs>
        <w:ind w:left="5760" w:hanging="360"/>
      </w:pPr>
      <w:rPr>
        <w:rFonts w:ascii="Wingdings" w:hAnsi="Wingdings" w:hint="default"/>
      </w:rPr>
    </w:lvl>
    <w:lvl w:ilvl="8" w:tplc="37E0EB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FF2AC1"/>
    <w:multiLevelType w:val="hybridMultilevel"/>
    <w:tmpl w:val="E774ECFC"/>
    <w:lvl w:ilvl="0" w:tplc="3EE67150">
      <w:start w:val="1"/>
      <w:numFmt w:val="bullet"/>
      <w:lvlText w:val=""/>
      <w:lvlJc w:val="left"/>
      <w:pPr>
        <w:tabs>
          <w:tab w:val="num" w:pos="720"/>
        </w:tabs>
        <w:ind w:left="720" w:hanging="360"/>
      </w:pPr>
      <w:rPr>
        <w:rFonts w:ascii="Wingdings" w:hAnsi="Wingdings" w:hint="default"/>
      </w:rPr>
    </w:lvl>
    <w:lvl w:ilvl="1" w:tplc="7520D85E" w:tentative="1">
      <w:start w:val="1"/>
      <w:numFmt w:val="bullet"/>
      <w:lvlText w:val=""/>
      <w:lvlJc w:val="left"/>
      <w:pPr>
        <w:tabs>
          <w:tab w:val="num" w:pos="1440"/>
        </w:tabs>
        <w:ind w:left="1440" w:hanging="360"/>
      </w:pPr>
      <w:rPr>
        <w:rFonts w:ascii="Wingdings" w:hAnsi="Wingdings" w:hint="default"/>
      </w:rPr>
    </w:lvl>
    <w:lvl w:ilvl="2" w:tplc="13F61DAE" w:tentative="1">
      <w:start w:val="1"/>
      <w:numFmt w:val="bullet"/>
      <w:lvlText w:val=""/>
      <w:lvlJc w:val="left"/>
      <w:pPr>
        <w:tabs>
          <w:tab w:val="num" w:pos="2160"/>
        </w:tabs>
        <w:ind w:left="2160" w:hanging="360"/>
      </w:pPr>
      <w:rPr>
        <w:rFonts w:ascii="Wingdings" w:hAnsi="Wingdings" w:hint="default"/>
      </w:rPr>
    </w:lvl>
    <w:lvl w:ilvl="3" w:tplc="27E4A8D6" w:tentative="1">
      <w:start w:val="1"/>
      <w:numFmt w:val="bullet"/>
      <w:lvlText w:val=""/>
      <w:lvlJc w:val="left"/>
      <w:pPr>
        <w:tabs>
          <w:tab w:val="num" w:pos="2880"/>
        </w:tabs>
        <w:ind w:left="2880" w:hanging="360"/>
      </w:pPr>
      <w:rPr>
        <w:rFonts w:ascii="Wingdings" w:hAnsi="Wingdings" w:hint="default"/>
      </w:rPr>
    </w:lvl>
    <w:lvl w:ilvl="4" w:tplc="8C0E575A" w:tentative="1">
      <w:start w:val="1"/>
      <w:numFmt w:val="bullet"/>
      <w:lvlText w:val=""/>
      <w:lvlJc w:val="left"/>
      <w:pPr>
        <w:tabs>
          <w:tab w:val="num" w:pos="3600"/>
        </w:tabs>
        <w:ind w:left="3600" w:hanging="360"/>
      </w:pPr>
      <w:rPr>
        <w:rFonts w:ascii="Wingdings" w:hAnsi="Wingdings" w:hint="default"/>
      </w:rPr>
    </w:lvl>
    <w:lvl w:ilvl="5" w:tplc="7408D5F8" w:tentative="1">
      <w:start w:val="1"/>
      <w:numFmt w:val="bullet"/>
      <w:lvlText w:val=""/>
      <w:lvlJc w:val="left"/>
      <w:pPr>
        <w:tabs>
          <w:tab w:val="num" w:pos="4320"/>
        </w:tabs>
        <w:ind w:left="4320" w:hanging="360"/>
      </w:pPr>
      <w:rPr>
        <w:rFonts w:ascii="Wingdings" w:hAnsi="Wingdings" w:hint="default"/>
      </w:rPr>
    </w:lvl>
    <w:lvl w:ilvl="6" w:tplc="4D3C4AFE" w:tentative="1">
      <w:start w:val="1"/>
      <w:numFmt w:val="bullet"/>
      <w:lvlText w:val=""/>
      <w:lvlJc w:val="left"/>
      <w:pPr>
        <w:tabs>
          <w:tab w:val="num" w:pos="5040"/>
        </w:tabs>
        <w:ind w:left="5040" w:hanging="360"/>
      </w:pPr>
      <w:rPr>
        <w:rFonts w:ascii="Wingdings" w:hAnsi="Wingdings" w:hint="default"/>
      </w:rPr>
    </w:lvl>
    <w:lvl w:ilvl="7" w:tplc="7C5C539A" w:tentative="1">
      <w:start w:val="1"/>
      <w:numFmt w:val="bullet"/>
      <w:lvlText w:val=""/>
      <w:lvlJc w:val="left"/>
      <w:pPr>
        <w:tabs>
          <w:tab w:val="num" w:pos="5760"/>
        </w:tabs>
        <w:ind w:left="5760" w:hanging="360"/>
      </w:pPr>
      <w:rPr>
        <w:rFonts w:ascii="Wingdings" w:hAnsi="Wingdings" w:hint="default"/>
      </w:rPr>
    </w:lvl>
    <w:lvl w:ilvl="8" w:tplc="B75E3A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90"/>
    <w:rsid w:val="00075F7B"/>
    <w:rsid w:val="000D030E"/>
    <w:rsid w:val="00116EE0"/>
    <w:rsid w:val="001241A7"/>
    <w:rsid w:val="002A464C"/>
    <w:rsid w:val="002B1583"/>
    <w:rsid w:val="004C3189"/>
    <w:rsid w:val="00555441"/>
    <w:rsid w:val="006065FB"/>
    <w:rsid w:val="0061546A"/>
    <w:rsid w:val="00717590"/>
    <w:rsid w:val="008342F4"/>
    <w:rsid w:val="00965EDD"/>
    <w:rsid w:val="00A3186E"/>
    <w:rsid w:val="00A37C6B"/>
    <w:rsid w:val="00AC3EA7"/>
    <w:rsid w:val="00C154E9"/>
    <w:rsid w:val="00FC2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E474B"/>
  <w15:docId w15:val="{7BC66549-C2B0-49FD-AF44-1956ADC2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46A"/>
    <w:rPr>
      <w:sz w:val="18"/>
      <w:szCs w:val="18"/>
    </w:rPr>
  </w:style>
  <w:style w:type="paragraph" w:styleId="a5">
    <w:name w:val="footer"/>
    <w:basedOn w:val="a"/>
    <w:link w:val="a6"/>
    <w:uiPriority w:val="99"/>
    <w:unhideWhenUsed/>
    <w:rsid w:val="0061546A"/>
    <w:pPr>
      <w:tabs>
        <w:tab w:val="center" w:pos="4153"/>
        <w:tab w:val="right" w:pos="8306"/>
      </w:tabs>
      <w:snapToGrid w:val="0"/>
      <w:jc w:val="left"/>
    </w:pPr>
    <w:rPr>
      <w:sz w:val="18"/>
      <w:szCs w:val="18"/>
    </w:rPr>
  </w:style>
  <w:style w:type="character" w:customStyle="1" w:styleId="a6">
    <w:name w:val="页脚 字符"/>
    <w:basedOn w:val="a0"/>
    <w:link w:val="a5"/>
    <w:uiPriority w:val="99"/>
    <w:rsid w:val="0061546A"/>
    <w:rPr>
      <w:sz w:val="18"/>
      <w:szCs w:val="18"/>
    </w:rPr>
  </w:style>
  <w:style w:type="character" w:styleId="a7">
    <w:name w:val="Placeholder Text"/>
    <w:basedOn w:val="a0"/>
    <w:uiPriority w:val="99"/>
    <w:semiHidden/>
    <w:rsid w:val="00AC3E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623">
      <w:bodyDiv w:val="1"/>
      <w:marLeft w:val="0"/>
      <w:marRight w:val="0"/>
      <w:marTop w:val="0"/>
      <w:marBottom w:val="0"/>
      <w:divBdr>
        <w:top w:val="none" w:sz="0" w:space="0" w:color="auto"/>
        <w:left w:val="none" w:sz="0" w:space="0" w:color="auto"/>
        <w:bottom w:val="none" w:sz="0" w:space="0" w:color="auto"/>
        <w:right w:val="none" w:sz="0" w:space="0" w:color="auto"/>
      </w:divBdr>
      <w:divsChild>
        <w:div w:id="1556089957">
          <w:marLeft w:val="274"/>
          <w:marRight w:val="0"/>
          <w:marTop w:val="0"/>
          <w:marBottom w:val="0"/>
          <w:divBdr>
            <w:top w:val="none" w:sz="0" w:space="0" w:color="auto"/>
            <w:left w:val="none" w:sz="0" w:space="0" w:color="auto"/>
            <w:bottom w:val="none" w:sz="0" w:space="0" w:color="auto"/>
            <w:right w:val="none" w:sz="0" w:space="0" w:color="auto"/>
          </w:divBdr>
        </w:div>
        <w:div w:id="606933803">
          <w:marLeft w:val="274"/>
          <w:marRight w:val="0"/>
          <w:marTop w:val="0"/>
          <w:marBottom w:val="0"/>
          <w:divBdr>
            <w:top w:val="none" w:sz="0" w:space="0" w:color="auto"/>
            <w:left w:val="none" w:sz="0" w:space="0" w:color="auto"/>
            <w:bottom w:val="none" w:sz="0" w:space="0" w:color="auto"/>
            <w:right w:val="none" w:sz="0" w:space="0" w:color="auto"/>
          </w:divBdr>
        </w:div>
        <w:div w:id="1688560980">
          <w:marLeft w:val="274"/>
          <w:marRight w:val="0"/>
          <w:marTop w:val="0"/>
          <w:marBottom w:val="0"/>
          <w:divBdr>
            <w:top w:val="none" w:sz="0" w:space="0" w:color="auto"/>
            <w:left w:val="none" w:sz="0" w:space="0" w:color="auto"/>
            <w:bottom w:val="none" w:sz="0" w:space="0" w:color="auto"/>
            <w:right w:val="none" w:sz="0" w:space="0" w:color="auto"/>
          </w:divBdr>
        </w:div>
        <w:div w:id="1864202394">
          <w:marLeft w:val="274"/>
          <w:marRight w:val="0"/>
          <w:marTop w:val="0"/>
          <w:marBottom w:val="0"/>
          <w:divBdr>
            <w:top w:val="none" w:sz="0" w:space="0" w:color="auto"/>
            <w:left w:val="none" w:sz="0" w:space="0" w:color="auto"/>
            <w:bottom w:val="none" w:sz="0" w:space="0" w:color="auto"/>
            <w:right w:val="none" w:sz="0" w:space="0" w:color="auto"/>
          </w:divBdr>
        </w:div>
        <w:div w:id="1638299369">
          <w:marLeft w:val="274"/>
          <w:marRight w:val="0"/>
          <w:marTop w:val="0"/>
          <w:marBottom w:val="0"/>
          <w:divBdr>
            <w:top w:val="none" w:sz="0" w:space="0" w:color="auto"/>
            <w:left w:val="none" w:sz="0" w:space="0" w:color="auto"/>
            <w:bottom w:val="none" w:sz="0" w:space="0" w:color="auto"/>
            <w:right w:val="none" w:sz="0" w:space="0" w:color="auto"/>
          </w:divBdr>
        </w:div>
        <w:div w:id="395662447">
          <w:marLeft w:val="274"/>
          <w:marRight w:val="0"/>
          <w:marTop w:val="0"/>
          <w:marBottom w:val="0"/>
          <w:divBdr>
            <w:top w:val="none" w:sz="0" w:space="0" w:color="auto"/>
            <w:left w:val="none" w:sz="0" w:space="0" w:color="auto"/>
            <w:bottom w:val="none" w:sz="0" w:space="0" w:color="auto"/>
            <w:right w:val="none" w:sz="0" w:space="0" w:color="auto"/>
          </w:divBdr>
        </w:div>
        <w:div w:id="204567486">
          <w:marLeft w:val="274"/>
          <w:marRight w:val="0"/>
          <w:marTop w:val="0"/>
          <w:marBottom w:val="0"/>
          <w:divBdr>
            <w:top w:val="none" w:sz="0" w:space="0" w:color="auto"/>
            <w:left w:val="none" w:sz="0" w:space="0" w:color="auto"/>
            <w:bottom w:val="none" w:sz="0" w:space="0" w:color="auto"/>
            <w:right w:val="none" w:sz="0" w:space="0" w:color="auto"/>
          </w:divBdr>
        </w:div>
        <w:div w:id="1731729193">
          <w:marLeft w:val="274"/>
          <w:marRight w:val="0"/>
          <w:marTop w:val="0"/>
          <w:marBottom w:val="0"/>
          <w:divBdr>
            <w:top w:val="none" w:sz="0" w:space="0" w:color="auto"/>
            <w:left w:val="none" w:sz="0" w:space="0" w:color="auto"/>
            <w:bottom w:val="none" w:sz="0" w:space="0" w:color="auto"/>
            <w:right w:val="none" w:sz="0" w:space="0" w:color="auto"/>
          </w:divBdr>
        </w:div>
        <w:div w:id="1985231635">
          <w:marLeft w:val="274"/>
          <w:marRight w:val="0"/>
          <w:marTop w:val="0"/>
          <w:marBottom w:val="0"/>
          <w:divBdr>
            <w:top w:val="none" w:sz="0" w:space="0" w:color="auto"/>
            <w:left w:val="none" w:sz="0" w:space="0" w:color="auto"/>
            <w:bottom w:val="none" w:sz="0" w:space="0" w:color="auto"/>
            <w:right w:val="none" w:sz="0" w:space="0" w:color="auto"/>
          </w:divBdr>
        </w:div>
        <w:div w:id="225189562">
          <w:marLeft w:val="274"/>
          <w:marRight w:val="0"/>
          <w:marTop w:val="0"/>
          <w:marBottom w:val="0"/>
          <w:divBdr>
            <w:top w:val="none" w:sz="0" w:space="0" w:color="auto"/>
            <w:left w:val="none" w:sz="0" w:space="0" w:color="auto"/>
            <w:bottom w:val="none" w:sz="0" w:space="0" w:color="auto"/>
            <w:right w:val="none" w:sz="0" w:space="0" w:color="auto"/>
          </w:divBdr>
        </w:div>
        <w:div w:id="1118766193">
          <w:marLeft w:val="274"/>
          <w:marRight w:val="0"/>
          <w:marTop w:val="0"/>
          <w:marBottom w:val="0"/>
          <w:divBdr>
            <w:top w:val="none" w:sz="0" w:space="0" w:color="auto"/>
            <w:left w:val="none" w:sz="0" w:space="0" w:color="auto"/>
            <w:bottom w:val="none" w:sz="0" w:space="0" w:color="auto"/>
            <w:right w:val="none" w:sz="0" w:space="0" w:color="auto"/>
          </w:divBdr>
        </w:div>
        <w:div w:id="1674139712">
          <w:marLeft w:val="274"/>
          <w:marRight w:val="0"/>
          <w:marTop w:val="0"/>
          <w:marBottom w:val="0"/>
          <w:divBdr>
            <w:top w:val="none" w:sz="0" w:space="0" w:color="auto"/>
            <w:left w:val="none" w:sz="0" w:space="0" w:color="auto"/>
            <w:bottom w:val="none" w:sz="0" w:space="0" w:color="auto"/>
            <w:right w:val="none" w:sz="0" w:space="0" w:color="auto"/>
          </w:divBdr>
        </w:div>
        <w:div w:id="1781755963">
          <w:marLeft w:val="274"/>
          <w:marRight w:val="0"/>
          <w:marTop w:val="0"/>
          <w:marBottom w:val="0"/>
          <w:divBdr>
            <w:top w:val="none" w:sz="0" w:space="0" w:color="auto"/>
            <w:left w:val="none" w:sz="0" w:space="0" w:color="auto"/>
            <w:bottom w:val="none" w:sz="0" w:space="0" w:color="auto"/>
            <w:right w:val="none" w:sz="0" w:space="0" w:color="auto"/>
          </w:divBdr>
        </w:div>
        <w:div w:id="123421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421</Words>
  <Characters>2405</Characters>
  <Application>Microsoft Office Word</Application>
  <DocSecurity>0</DocSecurity>
  <Lines>20</Lines>
  <Paragraphs>5</Paragraphs>
  <ScaleCrop>false</ScaleCrop>
  <Company>iTianKong.com</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Tasha/吴青青</dc:creator>
  <cp:keywords/>
  <dc:description/>
  <cp:lastModifiedBy>INGCO--Janie/孙珍碧</cp:lastModifiedBy>
  <cp:revision>1</cp:revision>
  <dcterms:created xsi:type="dcterms:W3CDTF">2021-01-26T07:14:00Z</dcterms:created>
  <dcterms:modified xsi:type="dcterms:W3CDTF">2024-07-20T01:45:00Z</dcterms:modified>
</cp:coreProperties>
</file>